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164F2" w14:textId="77777777" w:rsidR="00A347DD" w:rsidRPr="00086CC9" w:rsidRDefault="00A347DD" w:rsidP="00A347DD">
      <w:pPr>
        <w:rPr>
          <w:rFonts w:asciiTheme="majorBidi" w:hAnsiTheme="majorBidi" w:cstheme="majorBidi"/>
          <w:sz w:val="24"/>
          <w:szCs w:val="24"/>
        </w:rPr>
      </w:pPr>
      <w:r w:rsidRPr="00086CC9">
        <w:rPr>
          <w:rFonts w:asciiTheme="majorBidi" w:hAnsiTheme="majorBidi" w:cstheme="majorBidi"/>
          <w:b/>
          <w:bCs/>
          <w:sz w:val="24"/>
          <w:szCs w:val="24"/>
        </w:rPr>
        <w:t>Supplement Table S2.</w:t>
      </w:r>
      <w:r w:rsidRPr="00086CC9">
        <w:rPr>
          <w:rFonts w:asciiTheme="majorBidi" w:hAnsiTheme="majorBidi" w:cstheme="majorBidi"/>
          <w:sz w:val="24"/>
          <w:szCs w:val="24"/>
        </w:rPr>
        <w:t xml:space="preserve"> Summary of Best performing ML model for each study, metrics (Accuracy, Sensitivity, Specificity, Precision) and </w:t>
      </w:r>
      <w:proofErr w:type="gramStart"/>
      <w:r w:rsidRPr="00086CC9">
        <w:rPr>
          <w:rFonts w:asciiTheme="majorBidi" w:hAnsiTheme="majorBidi" w:cstheme="majorBidi"/>
          <w:sz w:val="24"/>
          <w:szCs w:val="24"/>
        </w:rPr>
        <w:t>AUC(</w:t>
      </w:r>
      <w:proofErr w:type="gramEnd"/>
      <w:r w:rsidRPr="00086CC9">
        <w:rPr>
          <w:rFonts w:asciiTheme="majorBidi" w:hAnsiTheme="majorBidi" w:cstheme="majorBidi"/>
          <w:sz w:val="24"/>
          <w:szCs w:val="24"/>
        </w:rPr>
        <w:t xml:space="preserve">95%CI) in Datasets.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2"/>
        <w:gridCol w:w="1892"/>
        <w:gridCol w:w="1678"/>
        <w:gridCol w:w="952"/>
        <w:gridCol w:w="1024"/>
        <w:gridCol w:w="1033"/>
        <w:gridCol w:w="935"/>
        <w:gridCol w:w="1365"/>
        <w:gridCol w:w="1321"/>
        <w:gridCol w:w="1208"/>
      </w:tblGrid>
      <w:tr w:rsidR="00A347DD" w:rsidRPr="007A4752" w14:paraId="126A82ED" w14:textId="77777777" w:rsidTr="00262EED">
        <w:trPr>
          <w:jc w:val="center"/>
        </w:trPr>
        <w:tc>
          <w:tcPr>
            <w:tcW w:w="0" w:type="auto"/>
            <w:vMerge w:val="restart"/>
          </w:tcPr>
          <w:p w14:paraId="53AA5E1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Reference</w:t>
            </w:r>
          </w:p>
        </w:tc>
        <w:tc>
          <w:tcPr>
            <w:tcW w:w="0" w:type="auto"/>
            <w:vMerge w:val="restart"/>
          </w:tcPr>
          <w:p w14:paraId="49E83C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Kidney complication type</w:t>
            </w:r>
          </w:p>
        </w:tc>
        <w:tc>
          <w:tcPr>
            <w:tcW w:w="0" w:type="auto"/>
            <w:vMerge w:val="restart"/>
          </w:tcPr>
          <w:p w14:paraId="6D6EC61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Performing Model</w:t>
            </w:r>
          </w:p>
        </w:tc>
        <w:tc>
          <w:tcPr>
            <w:tcW w:w="0" w:type="auto"/>
            <w:vMerge w:val="restart"/>
          </w:tcPr>
          <w:p w14:paraId="4DB18F3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Accuracy (%)</w:t>
            </w:r>
          </w:p>
        </w:tc>
        <w:tc>
          <w:tcPr>
            <w:tcW w:w="0" w:type="auto"/>
            <w:vMerge w:val="restart"/>
          </w:tcPr>
          <w:p w14:paraId="2FCFC90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Sensitivity (%)</w:t>
            </w:r>
          </w:p>
        </w:tc>
        <w:tc>
          <w:tcPr>
            <w:tcW w:w="0" w:type="auto"/>
            <w:vMerge w:val="restart"/>
          </w:tcPr>
          <w:p w14:paraId="51601D8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Specificity (%)</w:t>
            </w:r>
          </w:p>
        </w:tc>
        <w:tc>
          <w:tcPr>
            <w:tcW w:w="0" w:type="auto"/>
            <w:vMerge w:val="restart"/>
          </w:tcPr>
          <w:p w14:paraId="6F58E9C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Precision (%)</w:t>
            </w:r>
          </w:p>
        </w:tc>
        <w:tc>
          <w:tcPr>
            <w:tcW w:w="0" w:type="auto"/>
            <w:gridSpan w:val="3"/>
          </w:tcPr>
          <w:p w14:paraId="410C6FA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Area Under the Curve</w:t>
            </w:r>
          </w:p>
          <w:p w14:paraId="1524FC5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Mean, (95%CI)</w:t>
            </w:r>
          </w:p>
          <w:p w14:paraId="46F0794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B7CC48F" w14:textId="77777777" w:rsidTr="00262EED">
        <w:trPr>
          <w:jc w:val="center"/>
        </w:trPr>
        <w:tc>
          <w:tcPr>
            <w:tcW w:w="0" w:type="auto"/>
            <w:vMerge/>
          </w:tcPr>
          <w:p w14:paraId="1B2D6C8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8AA4EB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89B899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1FB4DE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20E7CF1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7FF6B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CC1C62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0DB624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Train</w:t>
            </w:r>
          </w:p>
        </w:tc>
        <w:tc>
          <w:tcPr>
            <w:tcW w:w="0" w:type="auto"/>
          </w:tcPr>
          <w:p w14:paraId="0B55A8F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Validation </w:t>
            </w:r>
          </w:p>
        </w:tc>
        <w:tc>
          <w:tcPr>
            <w:tcW w:w="0" w:type="auto"/>
          </w:tcPr>
          <w:p w14:paraId="703FD28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Test</w:t>
            </w:r>
          </w:p>
        </w:tc>
      </w:tr>
      <w:tr w:rsidR="00A347DD" w:rsidRPr="007A4752" w14:paraId="442F5EDC" w14:textId="77777777" w:rsidTr="00262EED">
        <w:trPr>
          <w:jc w:val="center"/>
        </w:trPr>
        <w:tc>
          <w:tcPr>
            <w:tcW w:w="0" w:type="auto"/>
            <w:vMerge w:val="restart"/>
          </w:tcPr>
          <w:p w14:paraId="5C8D864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David E. Hamilton et al. 2024 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&lt;EndNote&gt;&lt;Cite&gt;&lt;Author&gt;Hamilton&lt;/Author&gt;&lt;Year&gt;2024&lt;/Year&gt;&lt;RecNum&gt;492&lt;/RecNum&gt;&lt;DisplayText&gt;(1)&lt;/DisplayText&gt;&lt;record&gt;&lt;rec-number&gt;492&lt;/rec-number&gt;&lt;foreign-keys&gt;&lt;key app="EN" db-id="z5ttrf29l2x0vgepr5zvd5acxpzf5dtdvtef" timestamp="1718793887"&gt;492&lt;/key&gt;&lt;/foreign-keys&gt;&lt;ref-type name="Journal Article"&gt;17&lt;/ref-type&gt;&lt;contributors&gt;&lt;authors&gt;&lt;author&gt;Hamilton, David E&lt;/author&gt;&lt;author&gt;Albright, Jeremy&lt;/author&gt;&lt;author&gt;Seth, Milan&lt;/author&gt;&lt;author&gt;Painter, Ian&lt;/author&gt;&lt;author&gt;Maynard, Charles&lt;/author&gt;&lt;author&gt;Hira, Ravi S&lt;/author&gt;&lt;author&gt;Sukul, Devraj&lt;/author&gt;&lt;author&gt;Gurm, Hitinder S&lt;/author&gt;&lt;/authors&gt;&lt;/contributors&gt;&lt;titles&gt;&lt;title&gt;Merging machine learning and patient preference: a novel tool for risk prediction of percutaneous coronary interventions&lt;/title&gt;&lt;secondary-title&gt;European Heart Journal&lt;/secondary-title&gt;&lt;/titles&gt;&lt;periodical&gt;&lt;full-title&gt;European Heart Journal&lt;/full-title&gt;&lt;/periodical&gt;&lt;pages&gt;601-609&lt;/pages&gt;&lt;volume&gt;45&lt;/volume&gt;&lt;number&gt;8&lt;/number&gt;&lt;dates&gt;&lt;year&gt;2024&lt;/year&gt;&lt;/dates&gt;&lt;isbn&gt;0195-668X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3C6533F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AKIN</w:t>
            </w:r>
          </w:p>
        </w:tc>
        <w:tc>
          <w:tcPr>
            <w:tcW w:w="0" w:type="auto"/>
          </w:tcPr>
          <w:p w14:paraId="1186C92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XGBoost</w:t>
            </w:r>
            <w:proofErr w:type="spellEnd"/>
          </w:p>
        </w:tc>
        <w:tc>
          <w:tcPr>
            <w:tcW w:w="0" w:type="auto"/>
          </w:tcPr>
          <w:p w14:paraId="7AE052E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ADA6C4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8787DF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186347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7A6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0.893 (0.883-0.903)</w:t>
            </w:r>
          </w:p>
        </w:tc>
        <w:tc>
          <w:tcPr>
            <w:tcW w:w="0" w:type="auto"/>
          </w:tcPr>
          <w:p w14:paraId="58D1CA1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43340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1EDFED8C" w14:textId="77777777" w:rsidTr="00262EED">
        <w:trPr>
          <w:jc w:val="center"/>
        </w:trPr>
        <w:tc>
          <w:tcPr>
            <w:tcW w:w="0" w:type="auto"/>
            <w:vMerge/>
          </w:tcPr>
          <w:p w14:paraId="6856FCD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C2F53B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EABA4D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49DFB4A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6216D5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B6B745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45A5AF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9605BD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0.881 (0.870-0.892)</w:t>
            </w:r>
          </w:p>
        </w:tc>
        <w:tc>
          <w:tcPr>
            <w:tcW w:w="0" w:type="auto"/>
          </w:tcPr>
          <w:p w14:paraId="30B13EF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AC8A7F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06E3B258" w14:textId="77777777" w:rsidTr="00262EED">
        <w:trPr>
          <w:jc w:val="center"/>
        </w:trPr>
        <w:tc>
          <w:tcPr>
            <w:tcW w:w="0" w:type="auto"/>
            <w:vMerge w:val="restart"/>
          </w:tcPr>
          <w:p w14:paraId="0FA8C64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Heejung</w:t>
            </w:r>
            <w:proofErr w:type="spellEnd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Choi et al. 2024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&lt;EndNote&gt;&lt;Cite&gt;&lt;Author&gt;Choi&lt;/Author&gt;&lt;Year&gt;2024&lt;/Year&gt;&lt;RecNum&gt;487&lt;/RecNum&gt;&lt;DisplayText&gt;(2)&lt;/DisplayText&gt;&lt;record&gt;&lt;rec-number&gt;487&lt;/rec-number&gt;&lt;foreign-keys&gt;&lt;key app="EN" db-id="z5ttrf29l2x0vgepr5zvd5acxpzf5dtdvtef" timestamp="1718713607"&gt;487&lt;/key&gt;&lt;/foreign-keys&gt;&lt;ref-type name="Journal Article"&gt;17&lt;/ref-type&gt;&lt;contributors&gt;&lt;authors&gt;&lt;author&gt;Choi, Heejung&lt;/author&gt;&lt;author&gt;Choi, Byungjin&lt;/author&gt;&lt;author&gt;Han, Sungdam&lt;/author&gt;&lt;author&gt;Lee, Minjeong&lt;/author&gt;&lt;author&gt;Shin, Gyu-Tae&lt;/author&gt;&lt;author&gt;Kim, Heungsoo&lt;/author&gt;&lt;author&gt;Son, Minkook&lt;/author&gt;&lt;author&gt;Kim, Kyung-Hee&lt;/author&gt;&lt;author&gt;Kwon, Joon-myoung&lt;/author&gt;&lt;author&gt;Park, Rae Woong&lt;/author&gt;&lt;/authors&gt;&lt;/contributors&gt;&lt;titles&gt;&lt;title&gt;Applicable Machine Learning Model for Predicting Contrast-induced Nephropathy Based on Pre-catheterization Variables&lt;/title&gt;&lt;secondary-title&gt;Internal Medicine&lt;/secondary-title&gt;&lt;/titles&gt;&lt;periodical&gt;&lt;full-title&gt;Internal Medicine&lt;/full-title&gt;&lt;/periodical&gt;&lt;pages&gt;773-780&lt;/pages&gt;&lt;volume&gt;63&lt;/volume&gt;&lt;number&gt;6&lt;/number&gt;&lt;dates&gt;&lt;year&gt;2024&lt;/year&gt;&lt;/dates&gt;&lt;isbn&gt;0918-2918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(2)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58CBC1B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CIN</w:t>
            </w:r>
          </w:p>
        </w:tc>
        <w:tc>
          <w:tcPr>
            <w:tcW w:w="0" w:type="auto"/>
          </w:tcPr>
          <w:p w14:paraId="1BD3C2E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GBM</w:t>
            </w:r>
          </w:p>
        </w:tc>
        <w:tc>
          <w:tcPr>
            <w:tcW w:w="0" w:type="auto"/>
          </w:tcPr>
          <w:p w14:paraId="25E9ED7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A46DEB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DBFEE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1CFDD7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E709C8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0.875 (0.853–0.897)</w:t>
            </w:r>
          </w:p>
        </w:tc>
        <w:tc>
          <w:tcPr>
            <w:tcW w:w="0" w:type="auto"/>
          </w:tcPr>
          <w:p w14:paraId="1132205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BSH: 0.837 (0.819-0.854)</w:t>
            </w:r>
          </w:p>
          <w:p w14:paraId="4B0F8B0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ISH: 0.850 (0.781-0.918)</w:t>
            </w:r>
          </w:p>
        </w:tc>
        <w:tc>
          <w:tcPr>
            <w:tcW w:w="0" w:type="auto"/>
          </w:tcPr>
          <w:p w14:paraId="2E54D10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3657319A" w14:textId="77777777" w:rsidTr="00262EED">
        <w:trPr>
          <w:jc w:val="center"/>
        </w:trPr>
        <w:tc>
          <w:tcPr>
            <w:tcW w:w="0" w:type="auto"/>
            <w:vMerge/>
          </w:tcPr>
          <w:p w14:paraId="683D814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A96750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914C31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4C8D4DF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3F55CF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6FD48B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DDADF5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0B7883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0.852 (0.829–0.875)</w:t>
            </w:r>
          </w:p>
        </w:tc>
        <w:tc>
          <w:tcPr>
            <w:tcW w:w="0" w:type="auto"/>
          </w:tcPr>
          <w:p w14:paraId="7BF17DD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A76B05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79E5A345" w14:textId="77777777" w:rsidTr="00262EED">
        <w:trPr>
          <w:jc w:val="center"/>
        </w:trPr>
        <w:tc>
          <w:tcPr>
            <w:tcW w:w="0" w:type="auto"/>
            <w:vMerge/>
          </w:tcPr>
          <w:p w14:paraId="4A16A58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1D8276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C6D20B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DT</w:t>
            </w:r>
          </w:p>
        </w:tc>
        <w:tc>
          <w:tcPr>
            <w:tcW w:w="0" w:type="auto"/>
          </w:tcPr>
          <w:p w14:paraId="418DEFF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D3ABEF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1BE43A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B366A2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193707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0.822 (0.799–0.845)</w:t>
            </w:r>
          </w:p>
        </w:tc>
        <w:tc>
          <w:tcPr>
            <w:tcW w:w="0" w:type="auto"/>
          </w:tcPr>
          <w:p w14:paraId="504EBA0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743AA3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3C9E70E2" w14:textId="77777777" w:rsidTr="00262EED">
        <w:trPr>
          <w:jc w:val="center"/>
        </w:trPr>
        <w:tc>
          <w:tcPr>
            <w:tcW w:w="0" w:type="auto"/>
            <w:vMerge/>
          </w:tcPr>
          <w:p w14:paraId="79B57D2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2905C4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731C2E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Adaboost</w:t>
            </w:r>
            <w:proofErr w:type="spellEnd"/>
          </w:p>
        </w:tc>
        <w:tc>
          <w:tcPr>
            <w:tcW w:w="0" w:type="auto"/>
          </w:tcPr>
          <w:p w14:paraId="0B0FC67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73E21F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5AAE7C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88AF40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5C124A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0.852 (0.831–0.873)</w:t>
            </w:r>
          </w:p>
        </w:tc>
        <w:tc>
          <w:tcPr>
            <w:tcW w:w="0" w:type="auto"/>
          </w:tcPr>
          <w:p w14:paraId="0DA838F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99F3AC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DF6764F" w14:textId="77777777" w:rsidTr="00262EED">
        <w:trPr>
          <w:jc w:val="center"/>
        </w:trPr>
        <w:tc>
          <w:tcPr>
            <w:tcW w:w="0" w:type="auto"/>
            <w:vMerge/>
          </w:tcPr>
          <w:p w14:paraId="255D55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8A07A4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F80813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Lasso logistic regression</w:t>
            </w:r>
          </w:p>
        </w:tc>
        <w:tc>
          <w:tcPr>
            <w:tcW w:w="0" w:type="auto"/>
          </w:tcPr>
          <w:p w14:paraId="4FE9D90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9377DF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0E75A5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680D87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7FD8E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0.869 (0.846–0.893)</w:t>
            </w:r>
          </w:p>
        </w:tc>
        <w:tc>
          <w:tcPr>
            <w:tcW w:w="0" w:type="auto"/>
          </w:tcPr>
          <w:p w14:paraId="7546DD2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A9E177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36C7BB2" w14:textId="77777777" w:rsidTr="00262EED">
        <w:trPr>
          <w:jc w:val="center"/>
        </w:trPr>
        <w:tc>
          <w:tcPr>
            <w:tcW w:w="0" w:type="auto"/>
            <w:vMerge w:val="restart"/>
          </w:tcPr>
          <w:p w14:paraId="5325A53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Behnoush et al. 2024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&lt;EndNote&gt;&lt;Cite&gt;&lt;Author&gt;Behnoush&lt;/Author&gt;&lt;Year&gt;2024&lt;/Year&gt;&lt;RecNum&gt;480&lt;/RecNum&gt;&lt;DisplayText&gt;(3)&lt;/DisplayText&gt;&lt;record&gt;&lt;rec-number&gt;480&lt;/rec-number&gt;&lt;foreign-keys&gt;&lt;key app="EN" db-id="z5ttrf29l2x0vgepr5zvd5acxpzf5dtdvtef" timestamp="1718368067"&gt;480&lt;/key&gt;&lt;/foreign-keys&gt;&lt;ref-type name="Journal Article"&gt;17&lt;/ref-type&gt;&lt;contributors&gt;&lt;authors&gt;&lt;author&gt;Behnoush, Amir Hossein&lt;/author&gt;&lt;author&gt;Shariatnia, M Moein&lt;/author&gt;&lt;author&gt;Khalaji, Amirmohammad&lt;/author&gt;&lt;author&gt;Asadi, Mahsa&lt;/author&gt;&lt;author&gt;Yaghoobi, Alireza&lt;/author&gt;&lt;author&gt;Rezaee, Malihe&lt;/author&gt;&lt;author&gt;Soleimani, Hamidreza&lt;/author&gt;&lt;author&gt;Sheikhy, Ali&lt;/author&gt;&lt;author&gt;Aein, Afsaneh&lt;/author&gt;&lt;author&gt;Yadangi, Somayeh&lt;/author&gt;&lt;/authors&gt;&lt;/contributors&gt;&lt;titles&gt;&lt;title&gt;Predictive modeling for acute kidney injury after percutaneous coronary intervention in patients with acute coronary syndrome: a machine learning approach&lt;/title&gt;&lt;secondary-title&gt;European Journal of Medical Research&lt;/secondary-title&gt;&lt;/titles&gt;&lt;periodical&gt;&lt;full-title&gt;European Journal of Medical Research&lt;/full-title&gt;&lt;/periodical&gt;&lt;pages&gt;76&lt;/pages&gt;&lt;volume&gt;29&lt;/volume&gt;&lt;number&gt;1&lt;/number&gt;&lt;dates&gt;&lt;year&gt;2024&lt;/year&gt;&lt;/dates&gt;&lt;isbn&gt;2047-783X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(3)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66410E9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AKIN</w:t>
            </w:r>
          </w:p>
        </w:tc>
        <w:tc>
          <w:tcPr>
            <w:tcW w:w="0" w:type="auto"/>
          </w:tcPr>
          <w:p w14:paraId="68DAAE1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2855C1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CF61C2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81.4%</w:t>
            </w:r>
          </w:p>
        </w:tc>
        <w:tc>
          <w:tcPr>
            <w:tcW w:w="0" w:type="auto"/>
          </w:tcPr>
          <w:p w14:paraId="08A3736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60.56%</w:t>
            </w:r>
          </w:p>
        </w:tc>
        <w:tc>
          <w:tcPr>
            <w:tcW w:w="0" w:type="auto"/>
          </w:tcPr>
          <w:p w14:paraId="018F829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992004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0.775 (0.730–0.818)</w:t>
            </w:r>
          </w:p>
        </w:tc>
        <w:tc>
          <w:tcPr>
            <w:tcW w:w="0" w:type="auto"/>
          </w:tcPr>
          <w:p w14:paraId="71223FD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9F83DE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CCBFE72" w14:textId="77777777" w:rsidTr="00262EED">
        <w:trPr>
          <w:jc w:val="center"/>
        </w:trPr>
        <w:tc>
          <w:tcPr>
            <w:tcW w:w="0" w:type="auto"/>
            <w:vMerge/>
          </w:tcPr>
          <w:p w14:paraId="03D24A4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577A3B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9D05FD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CatBoost</w:t>
            </w:r>
            <w:proofErr w:type="spellEnd"/>
          </w:p>
        </w:tc>
        <w:tc>
          <w:tcPr>
            <w:tcW w:w="0" w:type="auto"/>
          </w:tcPr>
          <w:p w14:paraId="59FAD74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721ED3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82.95%</w:t>
            </w:r>
          </w:p>
        </w:tc>
        <w:tc>
          <w:tcPr>
            <w:tcW w:w="0" w:type="auto"/>
          </w:tcPr>
          <w:p w14:paraId="3B969E8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62.58%</w:t>
            </w:r>
          </w:p>
        </w:tc>
        <w:tc>
          <w:tcPr>
            <w:tcW w:w="0" w:type="auto"/>
          </w:tcPr>
          <w:p w14:paraId="1C4BFCA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A277BB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0.774 (0.728–0.816)</w:t>
            </w:r>
          </w:p>
        </w:tc>
        <w:tc>
          <w:tcPr>
            <w:tcW w:w="0" w:type="auto"/>
          </w:tcPr>
          <w:p w14:paraId="47C0E88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EA64C5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7C120080" w14:textId="77777777" w:rsidTr="00262EED">
        <w:trPr>
          <w:jc w:val="center"/>
        </w:trPr>
        <w:tc>
          <w:tcPr>
            <w:tcW w:w="0" w:type="auto"/>
            <w:vMerge/>
          </w:tcPr>
          <w:p w14:paraId="18ED4EE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2F7E40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AF4D08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7CF0333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5E9A7F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76.74%</w:t>
            </w:r>
          </w:p>
        </w:tc>
        <w:tc>
          <w:tcPr>
            <w:tcW w:w="0" w:type="auto"/>
          </w:tcPr>
          <w:p w14:paraId="0FDD604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60.81%</w:t>
            </w:r>
          </w:p>
        </w:tc>
        <w:tc>
          <w:tcPr>
            <w:tcW w:w="0" w:type="auto"/>
          </w:tcPr>
          <w:p w14:paraId="3AC2A04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78C085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0.770 (0.725–0.811)</w:t>
            </w:r>
          </w:p>
        </w:tc>
        <w:tc>
          <w:tcPr>
            <w:tcW w:w="0" w:type="auto"/>
          </w:tcPr>
          <w:p w14:paraId="3228695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35EEF5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11CD28B8" w14:textId="77777777" w:rsidTr="00262EED">
        <w:trPr>
          <w:jc w:val="center"/>
        </w:trPr>
        <w:tc>
          <w:tcPr>
            <w:tcW w:w="0" w:type="auto"/>
            <w:vMerge/>
          </w:tcPr>
          <w:p w14:paraId="59AA2B6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05006D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922C8E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NB</w:t>
            </w:r>
          </w:p>
        </w:tc>
        <w:tc>
          <w:tcPr>
            <w:tcW w:w="0" w:type="auto"/>
          </w:tcPr>
          <w:p w14:paraId="568166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D3BE7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48.06%</w:t>
            </w:r>
          </w:p>
        </w:tc>
        <w:tc>
          <w:tcPr>
            <w:tcW w:w="0" w:type="auto"/>
          </w:tcPr>
          <w:p w14:paraId="3E278CE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82.93%</w:t>
            </w:r>
          </w:p>
        </w:tc>
        <w:tc>
          <w:tcPr>
            <w:tcW w:w="0" w:type="auto"/>
          </w:tcPr>
          <w:p w14:paraId="0E55B45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8F4447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0.763 (0.715–0.804)</w:t>
            </w:r>
          </w:p>
        </w:tc>
        <w:tc>
          <w:tcPr>
            <w:tcW w:w="0" w:type="auto"/>
          </w:tcPr>
          <w:p w14:paraId="1DF2B74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6D43C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78E5DED2" w14:textId="77777777" w:rsidTr="00262EED">
        <w:trPr>
          <w:jc w:val="center"/>
        </w:trPr>
        <w:tc>
          <w:tcPr>
            <w:tcW w:w="0" w:type="auto"/>
            <w:vMerge/>
          </w:tcPr>
          <w:p w14:paraId="069FDA0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D7B5D4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0B69C3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MLP</w:t>
            </w:r>
          </w:p>
        </w:tc>
        <w:tc>
          <w:tcPr>
            <w:tcW w:w="0" w:type="auto"/>
          </w:tcPr>
          <w:p w14:paraId="389332D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211FB3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75.19%</w:t>
            </w:r>
          </w:p>
        </w:tc>
        <w:tc>
          <w:tcPr>
            <w:tcW w:w="0" w:type="auto"/>
          </w:tcPr>
          <w:p w14:paraId="06DEF45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65.36%</w:t>
            </w:r>
          </w:p>
        </w:tc>
        <w:tc>
          <w:tcPr>
            <w:tcW w:w="0" w:type="auto"/>
          </w:tcPr>
          <w:p w14:paraId="324FE65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E44DF2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0.757 (0.708–0.804)</w:t>
            </w:r>
          </w:p>
        </w:tc>
        <w:tc>
          <w:tcPr>
            <w:tcW w:w="0" w:type="auto"/>
          </w:tcPr>
          <w:p w14:paraId="7330DAC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445E81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6D043E34" w14:textId="77777777" w:rsidTr="00262EED">
        <w:trPr>
          <w:jc w:val="center"/>
        </w:trPr>
        <w:tc>
          <w:tcPr>
            <w:tcW w:w="0" w:type="auto"/>
            <w:vMerge w:val="restart"/>
          </w:tcPr>
          <w:p w14:paraId="25A2130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Xiao Ma et al. 2023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&lt;EndNote&gt;&lt;Cite&gt;&lt;Author&gt;Ma&lt;/Author&gt;&lt;Year&gt;2023&lt;/Year&gt;&lt;RecNum&gt;479&lt;/RecNum&gt;&lt;DisplayText&gt;(4)&lt;/DisplayText&gt;&lt;record&gt;&lt;rec-number&gt;479&lt;/rec-number&gt;&lt;foreign-keys&gt;&lt;key app="EN" db-id="z5ttrf29l2x0vgepr5zvd5acxpzf5dtdvtef" timestamp="1718361688"&gt;479&lt;/key&gt;&lt;/foreign-keys&gt;&lt;ref-type name="Journal Article"&gt;17&lt;/ref-type&gt;&lt;contributors&gt;&lt;authors&gt;&lt;author&gt;Ma, Xiao&lt;/author&gt;&lt;author&gt;Mo, Changhua&lt;/author&gt;&lt;author&gt;Li, Yujuan&lt;/author&gt;&lt;author&gt;Chen, Xinyuan&lt;/author&gt;&lt;author&gt;Gui, Chun&lt;/author&gt;&lt;/authors&gt;&lt;/contributors&gt;&lt;titles&gt;&lt;title&gt;Prediction of the development of contrast‑induced nephropathy following percutaneous coronary artery intervention by machine learning&lt;/title&gt;&lt;secondary-title&gt;Acta Cardiologica&lt;/secondary-title&gt;&lt;/titles&gt;&lt;periodical&gt;&lt;full-title&gt;Acta cardiologica&lt;/full-title&gt;&lt;/periodical&gt;&lt;pages&gt;912-921&lt;/pages&gt;&lt;volume&gt;78&lt;/volume&gt;&lt;number&gt;8&lt;/number&gt;&lt;dates&gt;&lt;year&gt;2023&lt;/year&gt;&lt;/dates&gt;&lt;isbn&gt;0001-5385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(4)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  <w:p w14:paraId="55C0CD6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</w:tcPr>
          <w:p w14:paraId="6093FA4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CIN</w:t>
            </w:r>
          </w:p>
        </w:tc>
        <w:tc>
          <w:tcPr>
            <w:tcW w:w="0" w:type="auto"/>
          </w:tcPr>
          <w:p w14:paraId="27F528D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DT</w:t>
            </w:r>
          </w:p>
        </w:tc>
        <w:tc>
          <w:tcPr>
            <w:tcW w:w="0" w:type="auto"/>
          </w:tcPr>
          <w:p w14:paraId="032BCE8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29E69B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24A10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E70CDD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894BCB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0.844(0.747 – 0.941)</w:t>
            </w:r>
          </w:p>
        </w:tc>
        <w:tc>
          <w:tcPr>
            <w:tcW w:w="0" w:type="auto"/>
          </w:tcPr>
          <w:p w14:paraId="0D199B9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A71DBA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0.697</w:t>
            </w:r>
          </w:p>
        </w:tc>
      </w:tr>
      <w:tr w:rsidR="00A347DD" w:rsidRPr="007A4752" w14:paraId="05D25E96" w14:textId="77777777" w:rsidTr="00262EED">
        <w:trPr>
          <w:jc w:val="center"/>
        </w:trPr>
        <w:tc>
          <w:tcPr>
            <w:tcW w:w="0" w:type="auto"/>
            <w:vMerge/>
          </w:tcPr>
          <w:p w14:paraId="56D334F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FA4E7E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460D3B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KNN</w:t>
            </w:r>
          </w:p>
        </w:tc>
        <w:tc>
          <w:tcPr>
            <w:tcW w:w="0" w:type="auto"/>
          </w:tcPr>
          <w:p w14:paraId="41A7152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41E46F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739F59F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434B03F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2FE3ED3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1.000 (1.000 – 1.000)</w:t>
            </w:r>
          </w:p>
        </w:tc>
        <w:tc>
          <w:tcPr>
            <w:tcW w:w="0" w:type="auto"/>
          </w:tcPr>
          <w:p w14:paraId="5610A36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758D43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0.613</w:t>
            </w:r>
          </w:p>
        </w:tc>
      </w:tr>
      <w:tr w:rsidR="00A347DD" w:rsidRPr="007A4752" w14:paraId="64E5E82B" w14:textId="77777777" w:rsidTr="00262EED">
        <w:trPr>
          <w:jc w:val="center"/>
        </w:trPr>
        <w:tc>
          <w:tcPr>
            <w:tcW w:w="0" w:type="auto"/>
            <w:vMerge/>
          </w:tcPr>
          <w:p w14:paraId="728345B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116FB5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9B4FB5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0F1C18E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3F4CC0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145296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5511E1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3FD41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0.691 (0.572, 0.810)</w:t>
            </w:r>
          </w:p>
        </w:tc>
        <w:tc>
          <w:tcPr>
            <w:tcW w:w="0" w:type="auto"/>
          </w:tcPr>
          <w:p w14:paraId="65C145F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2A5922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0.690 (0.571, 0.809)</w:t>
            </w:r>
          </w:p>
        </w:tc>
      </w:tr>
      <w:tr w:rsidR="00A347DD" w:rsidRPr="007A4752" w14:paraId="01F2D9FD" w14:textId="77777777" w:rsidTr="00262EED">
        <w:trPr>
          <w:jc w:val="center"/>
        </w:trPr>
        <w:tc>
          <w:tcPr>
            <w:tcW w:w="0" w:type="auto"/>
            <w:vMerge/>
          </w:tcPr>
          <w:p w14:paraId="6308A45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D94AA7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5B83E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SVM</w:t>
            </w:r>
          </w:p>
        </w:tc>
        <w:tc>
          <w:tcPr>
            <w:tcW w:w="0" w:type="auto"/>
          </w:tcPr>
          <w:p w14:paraId="70E0CA8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7AC6760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66%</w:t>
            </w:r>
          </w:p>
        </w:tc>
        <w:tc>
          <w:tcPr>
            <w:tcW w:w="0" w:type="auto"/>
          </w:tcPr>
          <w:p w14:paraId="2AABEF3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80%</w:t>
            </w:r>
          </w:p>
        </w:tc>
        <w:tc>
          <w:tcPr>
            <w:tcW w:w="0" w:type="auto"/>
          </w:tcPr>
          <w:p w14:paraId="2104319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38EF8BA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0.821 (0.719 – 0.923)</w:t>
            </w:r>
          </w:p>
        </w:tc>
        <w:tc>
          <w:tcPr>
            <w:tcW w:w="0" w:type="auto"/>
          </w:tcPr>
          <w:p w14:paraId="58CD740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CE96C7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0.784</w:t>
            </w:r>
          </w:p>
        </w:tc>
      </w:tr>
      <w:tr w:rsidR="00A347DD" w:rsidRPr="007A4752" w14:paraId="1D7AFE7B" w14:textId="77777777" w:rsidTr="00262EED">
        <w:trPr>
          <w:jc w:val="center"/>
        </w:trPr>
        <w:tc>
          <w:tcPr>
            <w:tcW w:w="0" w:type="auto"/>
            <w:vMerge/>
          </w:tcPr>
          <w:p w14:paraId="5CA180B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AD318F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F708BB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NB</w:t>
            </w:r>
          </w:p>
        </w:tc>
        <w:tc>
          <w:tcPr>
            <w:tcW w:w="0" w:type="auto"/>
          </w:tcPr>
          <w:p w14:paraId="2BAD1E9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7A326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9EDA80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D5447B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54F5D1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0.708 (0.590 – 0.826)</w:t>
            </w:r>
          </w:p>
        </w:tc>
        <w:tc>
          <w:tcPr>
            <w:tcW w:w="0" w:type="auto"/>
          </w:tcPr>
          <w:p w14:paraId="70B41FA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92EA4F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0.613</w:t>
            </w:r>
          </w:p>
        </w:tc>
      </w:tr>
      <w:tr w:rsidR="00A347DD" w:rsidRPr="007A4752" w14:paraId="26C30C21" w14:textId="77777777" w:rsidTr="00262EED">
        <w:trPr>
          <w:jc w:val="center"/>
        </w:trPr>
        <w:tc>
          <w:tcPr>
            <w:tcW w:w="0" w:type="auto"/>
            <w:vMerge/>
          </w:tcPr>
          <w:p w14:paraId="128186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E0C2A7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C54C0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RR</w:t>
            </w:r>
          </w:p>
        </w:tc>
        <w:tc>
          <w:tcPr>
            <w:tcW w:w="0" w:type="auto"/>
          </w:tcPr>
          <w:p w14:paraId="43018E1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DB5E0E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580D24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A0F027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CDF97C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0.788</w:t>
            </w:r>
          </w:p>
        </w:tc>
        <w:tc>
          <w:tcPr>
            <w:tcW w:w="0" w:type="auto"/>
          </w:tcPr>
          <w:p w14:paraId="48CE9E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9AC6C4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0.732</w:t>
            </w:r>
          </w:p>
        </w:tc>
      </w:tr>
      <w:tr w:rsidR="00A347DD" w:rsidRPr="007A4752" w14:paraId="78DA41B4" w14:textId="77777777" w:rsidTr="00262EED">
        <w:trPr>
          <w:jc w:val="center"/>
        </w:trPr>
        <w:tc>
          <w:tcPr>
            <w:tcW w:w="0" w:type="auto"/>
            <w:vMerge/>
          </w:tcPr>
          <w:p w14:paraId="23B51F2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67850B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0BC5B0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54FC4B4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DE167D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B59A87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9A1367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8B2A36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0.916 (0.842 – 0.990)</w:t>
            </w:r>
          </w:p>
        </w:tc>
        <w:tc>
          <w:tcPr>
            <w:tcW w:w="0" w:type="auto"/>
          </w:tcPr>
          <w:p w14:paraId="7834A20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637E1B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0.666</w:t>
            </w:r>
          </w:p>
        </w:tc>
      </w:tr>
      <w:tr w:rsidR="00A347DD" w:rsidRPr="007A4752" w14:paraId="6E751154" w14:textId="77777777" w:rsidTr="00262EED">
        <w:trPr>
          <w:jc w:val="center"/>
        </w:trPr>
        <w:tc>
          <w:tcPr>
            <w:tcW w:w="0" w:type="auto"/>
            <w:vMerge/>
          </w:tcPr>
          <w:p w14:paraId="681780A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8AEDCE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75E8FF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XGBoost</w:t>
            </w:r>
            <w:proofErr w:type="spellEnd"/>
          </w:p>
        </w:tc>
        <w:tc>
          <w:tcPr>
            <w:tcW w:w="0" w:type="auto"/>
          </w:tcPr>
          <w:p w14:paraId="21C6F4F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8AF8A1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1511AE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F80D5A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C9105B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0.995</w:t>
            </w:r>
          </w:p>
        </w:tc>
        <w:tc>
          <w:tcPr>
            <w:tcW w:w="0" w:type="auto"/>
          </w:tcPr>
          <w:p w14:paraId="4295111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BBDE13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0.690</w:t>
            </w:r>
          </w:p>
        </w:tc>
      </w:tr>
      <w:tr w:rsidR="00A347DD" w:rsidRPr="007A4752" w14:paraId="457E4C7B" w14:textId="77777777" w:rsidTr="00262EED">
        <w:trPr>
          <w:jc w:val="center"/>
        </w:trPr>
        <w:tc>
          <w:tcPr>
            <w:tcW w:w="0" w:type="auto"/>
            <w:vMerge w:val="restart"/>
          </w:tcPr>
          <w:p w14:paraId="1C26BF8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lastRenderedPageBreak/>
              <w:t xml:space="preserve">Fangfang Zhou et al. 2023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&lt;EndNote&gt;&lt;Cite&gt;&lt;Author&gt;Zhou&lt;/Author&gt;&lt;Year&gt;2023&lt;/Year&gt;&lt;RecNum&gt;484&lt;/RecNum&gt;&lt;DisplayText&gt;(5)&lt;/DisplayText&gt;&lt;record&gt;&lt;rec-number&gt;484&lt;/rec-number&gt;&lt;foreign-keys&gt;&lt;key app="EN" db-id="z5ttrf29l2x0vgepr5zvd5acxpzf5dtdvtef" timestamp="1718696029"&gt;484&lt;/key&gt;&lt;/foreign-keys&gt;&lt;ref-type name="Journal Article"&gt;17&lt;/ref-type&gt;&lt;contributors&gt;&lt;authors&gt;&lt;author&gt;Zhou, Fangfang&lt;/author&gt;&lt;author&gt;Lu, Yi&lt;/author&gt;&lt;author&gt;Xu, Youjun&lt;/author&gt;&lt;author&gt;Li, Jinpeng&lt;/author&gt;&lt;author&gt;Zhang, Shuzhen&lt;/author&gt;&lt;author&gt;Lin, Yang&lt;/author&gt;&lt;author&gt;Luo, Qun&lt;/author&gt;&lt;/authors&gt;&lt;/contributors&gt;&lt;titles&gt;&lt;title&gt;Correlation between neutrophil-to-lymphocyte ratio and contrast-induced acute kidney injury and the establishment of machine-learning-based predictive models&lt;/title&gt;&lt;secondary-title&gt;Renal Failure&lt;/secondary-title&gt;&lt;/titles&gt;&lt;periodical&gt;&lt;full-title&gt;Renal Failure&lt;/full-title&gt;&lt;/periodical&gt;&lt;pages&gt;2258983&lt;/pages&gt;&lt;volume&gt;45&lt;/volume&gt;&lt;number&gt;2&lt;/number&gt;&lt;dates&gt;&lt;year&gt;2023&lt;/year&gt;&lt;/dates&gt;&lt;isbn&gt;0886-022X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(5)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158E42D6" w14:textId="77777777" w:rsidR="00A347DD" w:rsidRPr="00086CC9" w:rsidRDefault="00A347DD" w:rsidP="00262EED">
            <w:pPr>
              <w:pStyle w:val="Pa25"/>
              <w:rPr>
                <w:rFonts w:cs="Myriad Pro"/>
                <w:color w:val="000000" w:themeColor="text1"/>
                <w:sz w:val="16"/>
                <w:szCs w:val="16"/>
              </w:rPr>
            </w:pPr>
            <w:r w:rsidRPr="00086CC9">
              <w:rPr>
                <w:rFonts w:cs="Myriad Pro"/>
                <w:color w:val="000000" w:themeColor="text1"/>
                <w:sz w:val="16"/>
                <w:szCs w:val="16"/>
              </w:rPr>
              <w:t>CI-AKI</w:t>
            </w:r>
          </w:p>
        </w:tc>
        <w:tc>
          <w:tcPr>
            <w:tcW w:w="0" w:type="auto"/>
          </w:tcPr>
          <w:p w14:paraId="0DA6C657" w14:textId="77777777" w:rsidR="00A347DD" w:rsidRPr="00086CC9" w:rsidRDefault="00A347DD" w:rsidP="00262EED">
            <w:pPr>
              <w:pStyle w:val="Pa25"/>
              <w:rPr>
                <w:rFonts w:cs="Myriad Pro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cs="Myriad Pro"/>
                <w:color w:val="000000" w:themeColor="text1"/>
                <w:sz w:val="16"/>
                <w:szCs w:val="16"/>
              </w:rPr>
              <w:t>XGBoost</w:t>
            </w:r>
            <w:proofErr w:type="spellEnd"/>
          </w:p>
          <w:p w14:paraId="5213ACB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7D6537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90.7%</w:t>
            </w:r>
          </w:p>
        </w:tc>
        <w:tc>
          <w:tcPr>
            <w:tcW w:w="0" w:type="auto"/>
          </w:tcPr>
          <w:p w14:paraId="544C7AF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16.7%</w:t>
            </w:r>
          </w:p>
        </w:tc>
        <w:tc>
          <w:tcPr>
            <w:tcW w:w="0" w:type="auto"/>
          </w:tcPr>
          <w:p w14:paraId="1515DF7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2AEFF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15.8%</w:t>
            </w:r>
          </w:p>
        </w:tc>
        <w:tc>
          <w:tcPr>
            <w:tcW w:w="0" w:type="auto"/>
          </w:tcPr>
          <w:p w14:paraId="2144836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0.718 (0.682, 0.754)</w:t>
            </w:r>
          </w:p>
        </w:tc>
        <w:tc>
          <w:tcPr>
            <w:tcW w:w="0" w:type="auto"/>
          </w:tcPr>
          <w:p w14:paraId="5C7150B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231A47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0367D1C7" w14:textId="77777777" w:rsidTr="00262EED">
        <w:trPr>
          <w:jc w:val="center"/>
        </w:trPr>
        <w:tc>
          <w:tcPr>
            <w:tcW w:w="0" w:type="auto"/>
            <w:vMerge/>
          </w:tcPr>
          <w:p w14:paraId="1948E4D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C7F50D7" w14:textId="77777777" w:rsidR="00A347DD" w:rsidRPr="00086CC9" w:rsidRDefault="00A347DD" w:rsidP="00262EED">
            <w:pPr>
              <w:pStyle w:val="Pa25"/>
              <w:rPr>
                <w:rFonts w:cs="Myriad Pro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B4D07F1" w14:textId="77777777" w:rsidR="00A347DD" w:rsidRPr="00086CC9" w:rsidRDefault="00A347DD" w:rsidP="00262EED">
            <w:pPr>
              <w:pStyle w:val="Pa25"/>
              <w:rPr>
                <w:rFonts w:cs="Myriad Pro"/>
                <w:color w:val="000000" w:themeColor="text1"/>
                <w:sz w:val="16"/>
                <w:szCs w:val="16"/>
              </w:rPr>
            </w:pPr>
            <w:r w:rsidRPr="00086CC9">
              <w:rPr>
                <w:rFonts w:cs="Myriad Pro"/>
                <w:color w:val="000000" w:themeColor="text1"/>
                <w:sz w:val="16"/>
                <w:szCs w:val="16"/>
              </w:rPr>
              <w:t>GDBT</w:t>
            </w:r>
          </w:p>
        </w:tc>
        <w:tc>
          <w:tcPr>
            <w:tcW w:w="0" w:type="auto"/>
          </w:tcPr>
          <w:p w14:paraId="35369F7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94%</w:t>
            </w:r>
          </w:p>
        </w:tc>
        <w:tc>
          <w:tcPr>
            <w:tcW w:w="0" w:type="auto"/>
          </w:tcPr>
          <w:p w14:paraId="0B9055D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13.9%</w:t>
            </w:r>
          </w:p>
        </w:tc>
        <w:tc>
          <w:tcPr>
            <w:tcW w:w="0" w:type="auto"/>
          </w:tcPr>
          <w:p w14:paraId="3B393EF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E31763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35.7%</w:t>
            </w:r>
          </w:p>
        </w:tc>
        <w:tc>
          <w:tcPr>
            <w:tcW w:w="0" w:type="auto"/>
          </w:tcPr>
          <w:p w14:paraId="6A91698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0.755 (0.721, 0.789)</w:t>
            </w:r>
          </w:p>
        </w:tc>
        <w:tc>
          <w:tcPr>
            <w:tcW w:w="0" w:type="auto"/>
          </w:tcPr>
          <w:p w14:paraId="6789834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17E3FF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2F0C4852" w14:textId="77777777" w:rsidTr="00262EED">
        <w:trPr>
          <w:jc w:val="center"/>
        </w:trPr>
        <w:tc>
          <w:tcPr>
            <w:tcW w:w="0" w:type="auto"/>
            <w:vMerge/>
          </w:tcPr>
          <w:p w14:paraId="40E76ED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99547F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EF698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153B16E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94.6%</w:t>
            </w:r>
          </w:p>
        </w:tc>
        <w:tc>
          <w:tcPr>
            <w:tcW w:w="0" w:type="auto"/>
          </w:tcPr>
          <w:p w14:paraId="16EA855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2.8%</w:t>
            </w:r>
          </w:p>
        </w:tc>
        <w:tc>
          <w:tcPr>
            <w:tcW w:w="0" w:type="auto"/>
          </w:tcPr>
          <w:p w14:paraId="3E0A4A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CF457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50%</w:t>
            </w:r>
          </w:p>
        </w:tc>
        <w:tc>
          <w:tcPr>
            <w:tcW w:w="0" w:type="auto"/>
          </w:tcPr>
          <w:p w14:paraId="49A8429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0.745 (0.710, 0.780)</w:t>
            </w:r>
          </w:p>
        </w:tc>
        <w:tc>
          <w:tcPr>
            <w:tcW w:w="0" w:type="auto"/>
          </w:tcPr>
          <w:p w14:paraId="570E7CD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1D7CE2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779A01F5" w14:textId="77777777" w:rsidTr="00262EED">
        <w:trPr>
          <w:jc w:val="center"/>
        </w:trPr>
        <w:tc>
          <w:tcPr>
            <w:tcW w:w="0" w:type="auto"/>
            <w:vMerge/>
          </w:tcPr>
          <w:p w14:paraId="053F345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4C7396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9F1274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NB</w:t>
            </w:r>
          </w:p>
        </w:tc>
        <w:tc>
          <w:tcPr>
            <w:tcW w:w="0" w:type="auto"/>
          </w:tcPr>
          <w:p w14:paraId="437D0EA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76.2%</w:t>
            </w:r>
          </w:p>
        </w:tc>
        <w:tc>
          <w:tcPr>
            <w:tcW w:w="0" w:type="auto"/>
          </w:tcPr>
          <w:p w14:paraId="2FA9306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61.1%</w:t>
            </w:r>
          </w:p>
        </w:tc>
        <w:tc>
          <w:tcPr>
            <w:tcW w:w="0" w:type="auto"/>
          </w:tcPr>
          <w:p w14:paraId="08B1ED2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CE3CAE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13.2%</w:t>
            </w:r>
          </w:p>
        </w:tc>
        <w:tc>
          <w:tcPr>
            <w:tcW w:w="0" w:type="auto"/>
          </w:tcPr>
          <w:p w14:paraId="39ECFD8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0.774 (0.742, 0.806)</w:t>
            </w:r>
          </w:p>
        </w:tc>
        <w:tc>
          <w:tcPr>
            <w:tcW w:w="0" w:type="auto"/>
          </w:tcPr>
          <w:p w14:paraId="53C7018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493727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1494FA9B" w14:textId="77777777" w:rsidTr="00262EED">
        <w:trPr>
          <w:jc w:val="center"/>
        </w:trPr>
        <w:tc>
          <w:tcPr>
            <w:tcW w:w="0" w:type="auto"/>
            <w:vMerge/>
          </w:tcPr>
          <w:p w14:paraId="6A4A1AF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37F8BB5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C38A58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0432A4C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75.3%</w:t>
            </w:r>
          </w:p>
        </w:tc>
        <w:tc>
          <w:tcPr>
            <w:tcW w:w="0" w:type="auto"/>
          </w:tcPr>
          <w:p w14:paraId="25E8286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69.4%</w:t>
            </w:r>
          </w:p>
        </w:tc>
        <w:tc>
          <w:tcPr>
            <w:tcW w:w="0" w:type="auto"/>
          </w:tcPr>
          <w:p w14:paraId="5661F30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6B4E2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14%</w:t>
            </w:r>
          </w:p>
        </w:tc>
        <w:tc>
          <w:tcPr>
            <w:tcW w:w="0" w:type="auto"/>
          </w:tcPr>
          <w:p w14:paraId="6457BBF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0.755 (0.721, 0.789)</w:t>
            </w:r>
          </w:p>
        </w:tc>
        <w:tc>
          <w:tcPr>
            <w:tcW w:w="0" w:type="auto"/>
          </w:tcPr>
          <w:p w14:paraId="14D3A87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6F3732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027405BE" w14:textId="77777777" w:rsidTr="00262EED">
        <w:trPr>
          <w:jc w:val="center"/>
        </w:trPr>
        <w:tc>
          <w:tcPr>
            <w:tcW w:w="0" w:type="auto"/>
          </w:tcPr>
          <w:p w14:paraId="325ECD9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Duanbin</w:t>
            </w:r>
            <w:proofErr w:type="spellEnd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Li et al. 2022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&lt;EndNote&gt;&lt;Cite&gt;&lt;Author&gt;Li&lt;/Author&gt;&lt;Year&gt;2022&lt;/Year&gt;&lt;RecNum&gt;489&lt;/RecNum&gt;&lt;DisplayText&gt;(6)&lt;/DisplayText&gt;&lt;record&gt;&lt;rec-number&gt;489&lt;/rec-number&gt;&lt;foreign-keys&gt;&lt;key app="EN" db-id="z5ttrf29l2x0vgepr5zvd5acxpzf5dtdvtef" timestamp="1718785861"&gt;489&lt;/key&gt;&lt;/foreign-keys&gt;&lt;ref-type name="Journal Article"&gt;17&lt;/ref-type&gt;&lt;contributors&gt;&lt;authors&gt;&lt;author&gt;Li, Duanbin&lt;/author&gt;&lt;author&gt;Jiang, Hangpan&lt;/author&gt;&lt;author&gt;Yang, Xinrui&lt;/author&gt;&lt;author&gt;Lin, Maoning&lt;/author&gt;&lt;author&gt;Gao, Menghan&lt;/author&gt;&lt;author&gt;Chen, Zhezhe&lt;/author&gt;&lt;author&gt;Fu, Guosheng&lt;/author&gt;&lt;author&gt;Lai, Dongwu&lt;/author&gt;&lt;author&gt;Zhang, Wenbin&lt;/author&gt;&lt;/authors&gt;&lt;/contributors&gt;&lt;titles&gt;&lt;title&gt;An online pre-procedural nomogram for the prediction of contrast-associated acute kidney injury in patients undergoing coronary angiography&lt;/title&gt;&lt;secondary-title&gt;Frontiers in Medicine&lt;/secondary-title&gt;&lt;/titles&gt;&lt;periodical&gt;&lt;full-title&gt;Frontiers in Medicine&lt;/full-title&gt;&lt;/periodical&gt;&lt;pages&gt;839856&lt;/pages&gt;&lt;volume&gt;9&lt;/volume&gt;&lt;dates&gt;&lt;year&gt;2022&lt;/year&gt;&lt;/dates&gt;&lt;isbn&gt;2296-858X&lt;/isbn&gt;&lt;urls&gt;&lt;/urls&gt;&lt;/record&gt;&lt;/Cite&gt;&lt;/EndNote&gt;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(6)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7A013BE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CI-AKI</w:t>
            </w:r>
          </w:p>
        </w:tc>
        <w:tc>
          <w:tcPr>
            <w:tcW w:w="0" w:type="auto"/>
          </w:tcPr>
          <w:p w14:paraId="1C63A29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LASSO + RF</w:t>
            </w:r>
          </w:p>
        </w:tc>
        <w:tc>
          <w:tcPr>
            <w:tcW w:w="0" w:type="auto"/>
          </w:tcPr>
          <w:p w14:paraId="3560A7E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8166C8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F4F9EC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C8A7F7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84A114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0.766 (0.737– 0.794)</w:t>
            </w:r>
          </w:p>
        </w:tc>
        <w:tc>
          <w:tcPr>
            <w:tcW w:w="0" w:type="auto"/>
          </w:tcPr>
          <w:p w14:paraId="5C85274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B40DD3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0.737 (0.693 – 0.780)</w:t>
            </w:r>
          </w:p>
        </w:tc>
      </w:tr>
      <w:tr w:rsidR="00A347DD" w:rsidRPr="007A4752" w14:paraId="44F2A8D6" w14:textId="77777777" w:rsidTr="00262EED">
        <w:trPr>
          <w:jc w:val="center"/>
        </w:trPr>
        <w:tc>
          <w:tcPr>
            <w:tcW w:w="0" w:type="auto"/>
            <w:vMerge w:val="restart"/>
          </w:tcPr>
          <w:p w14:paraId="380CED5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Toshiki Kuno et al. 2022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&lt;EndNote&gt;&lt;Cite&gt;&lt;Author&gt;Kuno&lt;/Author&gt;&lt;Year&gt;2022&lt;/Year&gt;&lt;RecNum&gt;482&lt;/RecNum&gt;&lt;DisplayText&gt;(7)&lt;/DisplayText&gt;&lt;record&gt;&lt;rec-number&gt;482&lt;/rec-number&gt;&lt;foreign-keys&gt;&lt;key app="EN" db-id="z5ttrf29l2x0vgepr5zvd5acxpzf5dtdvtef" timestamp="1718527719"&gt;482&lt;/key&gt;&lt;/foreign-keys&gt;&lt;ref-type name="Journal Article"&gt;17&lt;/ref-type&gt;&lt;contributors&gt;&lt;authors&gt;&lt;author&gt;Kuno, Toshiki&lt;/author&gt;&lt;author&gt;Mikami, Takahisa&lt;/author&gt;&lt;author&gt;Sahashi, Yuki&lt;/author&gt;&lt;author&gt;Numasawa, Yohei&lt;/author&gt;&lt;author&gt;Suzuki, Masahiro&lt;/author&gt;&lt;author&gt;Noma, Shigetaka&lt;/author&gt;&lt;author&gt;Fukuda, Keiichi&lt;/author&gt;&lt;author&gt;Kohsaka, Shun&lt;/author&gt;&lt;/authors&gt;&lt;/contributors&gt;&lt;titles&gt;&lt;title&gt;Machine learning prediction model of acute kidney injury after percutaneous coronary intervention&lt;/title&gt;&lt;secondary-title&gt;Scientific reports&lt;/secondary-title&gt;&lt;/titles&gt;&lt;periodical&gt;&lt;full-title&gt;Scientific reports&lt;/full-title&gt;&lt;/periodical&gt;&lt;pages&gt;749&lt;/pages&gt;&lt;volume&gt;12&lt;/volume&gt;&lt;number&gt;1&lt;/number&gt;&lt;dates&gt;&lt;year&gt;2022&lt;/year&gt;&lt;/dates&gt;&lt;isbn&gt;2045-2322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(7)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62F9051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</w:t>
            </w:r>
          </w:p>
        </w:tc>
        <w:tc>
          <w:tcPr>
            <w:tcW w:w="0" w:type="auto"/>
          </w:tcPr>
          <w:p w14:paraId="0645D4F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Light GBM</w:t>
            </w:r>
          </w:p>
        </w:tc>
        <w:tc>
          <w:tcPr>
            <w:tcW w:w="0" w:type="auto"/>
          </w:tcPr>
          <w:p w14:paraId="4008FB9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3A908E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6C85EF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FEFEEA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2A3CDC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0.790 (0.776, 0.804)</w:t>
            </w:r>
          </w:p>
        </w:tc>
        <w:tc>
          <w:tcPr>
            <w:tcW w:w="0" w:type="auto"/>
          </w:tcPr>
          <w:p w14:paraId="511ABD1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9D4D4C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0.784 (0.747, 0.821)</w:t>
            </w:r>
          </w:p>
        </w:tc>
      </w:tr>
      <w:tr w:rsidR="00A347DD" w:rsidRPr="007A4752" w14:paraId="1C0AF963" w14:textId="77777777" w:rsidTr="00262EED">
        <w:trPr>
          <w:jc w:val="center"/>
        </w:trPr>
        <w:tc>
          <w:tcPr>
            <w:tcW w:w="0" w:type="auto"/>
            <w:vMerge/>
          </w:tcPr>
          <w:p w14:paraId="2C43E07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3076DC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F0B53B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409881C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5B897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58F3CC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31C7A6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690E4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0.797 (0.783, 0.811)</w:t>
            </w:r>
          </w:p>
        </w:tc>
        <w:tc>
          <w:tcPr>
            <w:tcW w:w="0" w:type="auto"/>
          </w:tcPr>
          <w:p w14:paraId="0F90C6B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0230F3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0.755 (0.717, 0.793)</w:t>
            </w:r>
          </w:p>
        </w:tc>
      </w:tr>
      <w:tr w:rsidR="00A347DD" w:rsidRPr="007A4752" w14:paraId="10EB39E3" w14:textId="77777777" w:rsidTr="00262EED">
        <w:trPr>
          <w:jc w:val="center"/>
        </w:trPr>
        <w:tc>
          <w:tcPr>
            <w:tcW w:w="0" w:type="auto"/>
          </w:tcPr>
          <w:p w14:paraId="6C0E06F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Hemant Kulkarni et al. 2021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&lt;EndNote&gt;&lt;Cite&gt;&lt;Author&gt;Kulkarni&lt;/Author&gt;&lt;Year&gt;2021&lt;/Year&gt;&lt;RecNum&gt;486&lt;/RecNum&gt;&lt;DisplayText&gt;(8)&lt;/DisplayText&gt;&lt;record&gt;&lt;rec-number&gt;486&lt;/rec-number&gt;&lt;foreign-keys&gt;&lt;key app="EN" db-id="z5ttrf29l2x0vgepr5zvd5acxpzf5dtdvtef" timestamp="1718702490"&gt;486&lt;/key&gt;&lt;/foreign-keys&gt;&lt;ref-type name="Journal Article"&gt;17&lt;/ref-type&gt;&lt;contributors&gt;&lt;authors&gt;&lt;author&gt;Kulkarni, Hemant&lt;/author&gt;&lt;author&gt;Amin, Amit P&lt;/author&gt;&lt;/authors&gt;&lt;/contributors&gt;&lt;titles&gt;&lt;title&gt;Artificial intelligence in percutaneous coronary intervention: improved risk prediction of PCI-related complications using an artificial neural network&lt;/title&gt;&lt;secondary-title&gt;BMJ Innovations&lt;/secondary-title&gt;&lt;/titles&gt;&lt;periodical&gt;&lt;full-title&gt;BMJ Innovations&lt;/full-title&gt;&lt;/periodical&gt;&lt;volume&gt;7&lt;/volume&gt;&lt;number&gt;3&lt;/number&gt;&lt;dates&gt;&lt;year&gt;2021&lt;/year&gt;&lt;/dates&gt;&lt;isbn&gt;2055-8074&lt;/isbn&gt;&lt;urls&gt;&lt;/urls&gt;&lt;/record&gt;&lt;/Cite&gt;&lt;/EndNote&gt;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(8)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712EB7F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</w:t>
            </w:r>
          </w:p>
        </w:tc>
        <w:tc>
          <w:tcPr>
            <w:tcW w:w="0" w:type="auto"/>
          </w:tcPr>
          <w:p w14:paraId="2854E82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MLP</w:t>
            </w:r>
          </w:p>
        </w:tc>
        <w:tc>
          <w:tcPr>
            <w:tcW w:w="0" w:type="auto"/>
          </w:tcPr>
          <w:p w14:paraId="5C5A32F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B6347E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AC9B4D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72B931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DB6C44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0.8175 (0.8023 – 0.8326)</w:t>
            </w:r>
          </w:p>
        </w:tc>
        <w:tc>
          <w:tcPr>
            <w:tcW w:w="0" w:type="auto"/>
          </w:tcPr>
          <w:p w14:paraId="7794B95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F97783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0.7793 (0.7521 – 0.8065)</w:t>
            </w:r>
          </w:p>
        </w:tc>
      </w:tr>
      <w:tr w:rsidR="00A347DD" w:rsidRPr="007A4752" w14:paraId="280C7579" w14:textId="77777777" w:rsidTr="00262EED">
        <w:trPr>
          <w:jc w:val="center"/>
        </w:trPr>
        <w:tc>
          <w:tcPr>
            <w:tcW w:w="0" w:type="auto"/>
            <w:vMerge w:val="restart"/>
          </w:tcPr>
          <w:p w14:paraId="2B18688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Sun L et al. 2020 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&lt;EndNote&gt;&lt;Cite&gt;&lt;Author&gt;Sun&lt;/Author&gt;&lt;Year&gt;2020&lt;/Year&gt;&lt;RecNum&gt;481&lt;/RecNum&gt;&lt;DisplayText&gt;(9)&lt;/DisplayText&gt;&lt;record&gt;&lt;rec-number&gt;481&lt;/rec-number&gt;&lt;foreign-keys&gt;&lt;key app="EN" db-id="z5ttrf29l2x0vgepr5zvd5acxpzf5dtdvtef" timestamp="1718524853"&gt;481&lt;/key&gt;&lt;/foreign-keys&gt;&lt;ref-type name="Journal Article"&gt;17&lt;/ref-type&gt;&lt;contributors&gt;&lt;authors&gt;&lt;author&gt;Sun, Ling&lt;/author&gt;&lt;author&gt;Zhu, Wenwu&lt;/author&gt;&lt;author&gt;Chen, Xin&lt;/author&gt;&lt;author&gt;Jiang, Jianguang&lt;/author&gt;&lt;author&gt;Ji, Yuan&lt;/author&gt;&lt;author&gt;Liu, Nan&lt;/author&gt;&lt;author&gt;Xu, Yajing&lt;/author&gt;&lt;author&gt;Zhuang, Yi&lt;/author&gt;&lt;author&gt;Sun, Zhiqin&lt;/author&gt;&lt;author&gt;Wang, Qingjie&lt;/author&gt;&lt;/authors&gt;&lt;/contributors&gt;&lt;titles&gt;&lt;title&gt;Machine learning to predict contrast-induced acute kidney injury in patients with acute myocardial infarction&lt;/title&gt;&lt;secondary-title&gt;Frontiers in medicine&lt;/secondary-title&gt;&lt;/titles&gt;&lt;periodical&gt;&lt;full-title&gt;Frontiers in Medicine&lt;/full-title&gt;&lt;/periodical&gt;&lt;pages&gt;592007&lt;/pages&gt;&lt;volume&gt;7&lt;/volume&gt;&lt;dates&gt;&lt;year&gt;2020&lt;/year&gt;&lt;/dates&gt;&lt;isbn&gt;2296-858X&lt;/isbn&gt;&lt;urls&gt;&lt;/urls&gt;&lt;/record&gt;&lt;/Cite&gt;&lt;/EndNote&gt;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(9)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626E92D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CI-AKI</w:t>
            </w:r>
          </w:p>
        </w:tc>
        <w:tc>
          <w:tcPr>
            <w:tcW w:w="0" w:type="auto"/>
          </w:tcPr>
          <w:p w14:paraId="47049B8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16D0285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72.1%</w:t>
            </w:r>
          </w:p>
        </w:tc>
        <w:tc>
          <w:tcPr>
            <w:tcW w:w="0" w:type="auto"/>
          </w:tcPr>
          <w:p w14:paraId="4AA893A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64.9%</w:t>
            </w:r>
          </w:p>
        </w:tc>
        <w:tc>
          <w:tcPr>
            <w:tcW w:w="0" w:type="auto"/>
          </w:tcPr>
          <w:p w14:paraId="403660A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73.4%</w:t>
            </w:r>
          </w:p>
        </w:tc>
        <w:tc>
          <w:tcPr>
            <w:tcW w:w="0" w:type="auto"/>
          </w:tcPr>
          <w:p w14:paraId="012632A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30.6%</w:t>
            </w:r>
          </w:p>
        </w:tc>
        <w:tc>
          <w:tcPr>
            <w:tcW w:w="0" w:type="auto"/>
          </w:tcPr>
          <w:p w14:paraId="3172A1B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0.995 (0.993–0.998)</w:t>
            </w:r>
          </w:p>
        </w:tc>
        <w:tc>
          <w:tcPr>
            <w:tcW w:w="0" w:type="auto"/>
          </w:tcPr>
          <w:p w14:paraId="15B2A9E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22D89C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C2BBD72" w14:textId="77777777" w:rsidTr="00262EED">
        <w:trPr>
          <w:jc w:val="center"/>
        </w:trPr>
        <w:tc>
          <w:tcPr>
            <w:tcW w:w="0" w:type="auto"/>
            <w:vMerge/>
          </w:tcPr>
          <w:p w14:paraId="010365B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A60BEA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C80021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SVM</w:t>
            </w:r>
          </w:p>
        </w:tc>
        <w:tc>
          <w:tcPr>
            <w:tcW w:w="0" w:type="auto"/>
          </w:tcPr>
          <w:p w14:paraId="05DC6D0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67.3%</w:t>
            </w:r>
          </w:p>
        </w:tc>
        <w:tc>
          <w:tcPr>
            <w:tcW w:w="0" w:type="auto"/>
          </w:tcPr>
          <w:p w14:paraId="745006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71.9%</w:t>
            </w:r>
          </w:p>
        </w:tc>
        <w:tc>
          <w:tcPr>
            <w:tcW w:w="0" w:type="auto"/>
          </w:tcPr>
          <w:p w14:paraId="3D0CBB7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66.5%</w:t>
            </w:r>
          </w:p>
        </w:tc>
        <w:tc>
          <w:tcPr>
            <w:tcW w:w="0" w:type="auto"/>
          </w:tcPr>
          <w:p w14:paraId="2C81762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27.9%</w:t>
            </w:r>
          </w:p>
        </w:tc>
        <w:tc>
          <w:tcPr>
            <w:tcW w:w="0" w:type="auto"/>
          </w:tcPr>
          <w:p w14:paraId="7D9EF53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0.85 (0.82–0.88)</w:t>
            </w:r>
          </w:p>
        </w:tc>
        <w:tc>
          <w:tcPr>
            <w:tcW w:w="0" w:type="auto"/>
          </w:tcPr>
          <w:p w14:paraId="5632DFA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8BBEAC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7B4CD617" w14:textId="77777777" w:rsidTr="00262EED">
        <w:trPr>
          <w:jc w:val="center"/>
        </w:trPr>
        <w:tc>
          <w:tcPr>
            <w:tcW w:w="0" w:type="auto"/>
            <w:vMerge/>
          </w:tcPr>
          <w:p w14:paraId="150FABB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53C25A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F7DA07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DT</w:t>
            </w:r>
          </w:p>
        </w:tc>
        <w:tc>
          <w:tcPr>
            <w:tcW w:w="0" w:type="auto"/>
          </w:tcPr>
          <w:p w14:paraId="5182719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44C7EB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5A598D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CE5DEC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99F59B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0.68 (0.63–0.72)</w:t>
            </w:r>
          </w:p>
        </w:tc>
        <w:tc>
          <w:tcPr>
            <w:tcW w:w="0" w:type="auto"/>
          </w:tcPr>
          <w:p w14:paraId="6142C0B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8E8F00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6E0EBF3B" w14:textId="77777777" w:rsidTr="00262EED">
        <w:trPr>
          <w:jc w:val="center"/>
        </w:trPr>
        <w:tc>
          <w:tcPr>
            <w:tcW w:w="0" w:type="auto"/>
            <w:vMerge/>
          </w:tcPr>
          <w:p w14:paraId="4DBE2E3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40093A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52C6D8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NB</w:t>
            </w:r>
          </w:p>
        </w:tc>
        <w:tc>
          <w:tcPr>
            <w:tcW w:w="0" w:type="auto"/>
          </w:tcPr>
          <w:p w14:paraId="4473301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209681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DEAB32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FE81B4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66CA9B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0.83 (0.80–0.87)</w:t>
            </w:r>
          </w:p>
        </w:tc>
        <w:tc>
          <w:tcPr>
            <w:tcW w:w="0" w:type="auto"/>
          </w:tcPr>
          <w:p w14:paraId="11B7FA2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A04326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2817AFC7" w14:textId="77777777" w:rsidTr="00262EED">
        <w:trPr>
          <w:jc w:val="center"/>
        </w:trPr>
        <w:tc>
          <w:tcPr>
            <w:tcW w:w="0" w:type="auto"/>
            <w:vMerge/>
          </w:tcPr>
          <w:p w14:paraId="46CB398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D6A32D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CB97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GBM</w:t>
            </w:r>
          </w:p>
        </w:tc>
        <w:tc>
          <w:tcPr>
            <w:tcW w:w="0" w:type="auto"/>
          </w:tcPr>
          <w:p w14:paraId="44D505E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B4FE40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2ECB9F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EA6FA2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6D726D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0.85 (0.81–0.88)</w:t>
            </w:r>
          </w:p>
        </w:tc>
        <w:tc>
          <w:tcPr>
            <w:tcW w:w="0" w:type="auto"/>
          </w:tcPr>
          <w:p w14:paraId="36FB2A2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C8CFEC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1D263E8D" w14:textId="77777777" w:rsidTr="00262EED">
        <w:trPr>
          <w:jc w:val="center"/>
        </w:trPr>
        <w:tc>
          <w:tcPr>
            <w:tcW w:w="0" w:type="auto"/>
            <w:vMerge/>
          </w:tcPr>
          <w:p w14:paraId="2FBF2CB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422ACD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14D777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KNN</w:t>
            </w:r>
          </w:p>
        </w:tc>
        <w:tc>
          <w:tcPr>
            <w:tcW w:w="0" w:type="auto"/>
          </w:tcPr>
          <w:p w14:paraId="23ECF56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48E92A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C9E147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7852C9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0BAE3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0.86 (0.83–0.89)</w:t>
            </w:r>
          </w:p>
        </w:tc>
        <w:tc>
          <w:tcPr>
            <w:tcW w:w="0" w:type="auto"/>
          </w:tcPr>
          <w:p w14:paraId="7A26366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702453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3B9B156" w14:textId="77777777" w:rsidTr="00262EED">
        <w:trPr>
          <w:jc w:val="center"/>
        </w:trPr>
        <w:tc>
          <w:tcPr>
            <w:tcW w:w="0" w:type="auto"/>
            <w:vMerge/>
          </w:tcPr>
          <w:p w14:paraId="5F3A6C7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F5F980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158F28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7C5C192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22.0%</w:t>
            </w:r>
          </w:p>
        </w:tc>
        <w:tc>
          <w:tcPr>
            <w:tcW w:w="0" w:type="auto"/>
          </w:tcPr>
          <w:p w14:paraId="743DC2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63.2%</w:t>
            </w:r>
          </w:p>
        </w:tc>
        <w:tc>
          <w:tcPr>
            <w:tcW w:w="0" w:type="auto"/>
          </w:tcPr>
          <w:p w14:paraId="0056317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14.6%</w:t>
            </w:r>
          </w:p>
        </w:tc>
        <w:tc>
          <w:tcPr>
            <w:tcW w:w="0" w:type="auto"/>
          </w:tcPr>
          <w:p w14:paraId="05B5822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11.8%</w:t>
            </w:r>
          </w:p>
        </w:tc>
        <w:tc>
          <w:tcPr>
            <w:tcW w:w="0" w:type="auto"/>
          </w:tcPr>
          <w:p w14:paraId="1F4F8BD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0.72 (0.67–0.76)</w:t>
            </w:r>
          </w:p>
        </w:tc>
        <w:tc>
          <w:tcPr>
            <w:tcW w:w="0" w:type="auto"/>
          </w:tcPr>
          <w:p w14:paraId="49B434E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15EFA6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143308B1" w14:textId="77777777" w:rsidTr="00262EED">
        <w:trPr>
          <w:jc w:val="center"/>
        </w:trPr>
        <w:tc>
          <w:tcPr>
            <w:tcW w:w="0" w:type="auto"/>
            <w:vMerge w:val="restart"/>
          </w:tcPr>
          <w:p w14:paraId="15D5219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Chenxi Huang et al. 2019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&lt;EndNote&gt;&lt;Cite&gt;&lt;Author&gt;Huang&lt;/Author&gt;&lt;Year&gt;2019&lt;/Year&gt;&lt;RecNum&gt;491&lt;/RecNum&gt;&lt;DisplayText&gt;(10)&lt;/DisplayText&gt;&lt;record&gt;&lt;rec-number&gt;491&lt;/rec-number&gt;&lt;foreign-keys&gt;&lt;key app="EN" db-id="z5ttrf29l2x0vgepr5zvd5acxpzf5dtdvtef" timestamp="1718792153"&gt;491&lt;/key&gt;&lt;/foreign-keys&gt;&lt;ref-type name="Journal Article"&gt;17&lt;/ref-type&gt;&lt;contributors&gt;&lt;authors&gt;&lt;author&gt;Huang, Chenxi&lt;/author&gt;&lt;author&gt;Li, Shu-Xia&lt;/author&gt;&lt;author&gt;Mahajan, Shiwani&lt;/author&gt;&lt;author&gt;Testani, Jeffrey M&lt;/author&gt;&lt;author&gt;Wilson, Francis P&lt;/author&gt;&lt;author&gt;Mena, Carlos I&lt;/author&gt;&lt;author&gt;Masoudi, Frederick A&lt;/author&gt;&lt;author&gt;Rumsfeld, John S&lt;/author&gt;&lt;author&gt;Spertus, John A&lt;/author&gt;&lt;author&gt;Mortazavi, Bobak J&lt;/author&gt;&lt;/authors&gt;&lt;/contributors&gt;&lt;titles&gt;&lt;title&gt;Development and validation of a model for predicting the risk of acute kidney injury associated with contrast volume levels during percutaneous coronary intervention&lt;/title&gt;&lt;secondary-title&gt;JAMA network open&lt;/secondary-title&gt;&lt;/titles&gt;&lt;periodical&gt;&lt;full-title&gt;JAMA network open&lt;/full-title&gt;&lt;/periodical&gt;&lt;pages&gt;e1916021-e1916021&lt;/pages&gt;&lt;volume&gt;2&lt;/volume&gt;&lt;number&gt;11&lt;/number&gt;&lt;dates&gt;&lt;year&gt;2019&lt;/year&gt;&lt;/dates&gt;&lt;urls&gt;&lt;/urls&gt;&lt;/record&gt;&lt;/Cite&gt;&lt;/EndNote&gt;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(10)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2C7730B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AKI: creatinine level increase ≥ 0.3 mg/dL</w:t>
            </w:r>
          </w:p>
        </w:tc>
        <w:tc>
          <w:tcPr>
            <w:tcW w:w="0" w:type="auto"/>
            <w:vMerge w:val="restart"/>
          </w:tcPr>
          <w:p w14:paraId="7393DA0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Generalized Additive Model (GAM) </w:t>
            </w:r>
          </w:p>
        </w:tc>
        <w:tc>
          <w:tcPr>
            <w:tcW w:w="0" w:type="auto"/>
          </w:tcPr>
          <w:p w14:paraId="0A2035A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10B826D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B786D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2BB989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1D9366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0.777 (0.775-0.779)</w:t>
            </w:r>
          </w:p>
        </w:tc>
        <w:tc>
          <w:tcPr>
            <w:tcW w:w="0" w:type="auto"/>
          </w:tcPr>
          <w:p w14:paraId="65085EE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0.794 (0.792-0.795)</w:t>
            </w:r>
          </w:p>
        </w:tc>
        <w:tc>
          <w:tcPr>
            <w:tcW w:w="0" w:type="auto"/>
          </w:tcPr>
          <w:p w14:paraId="0D2D0C0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498D265E" w14:textId="77777777" w:rsidTr="00262EED">
        <w:trPr>
          <w:jc w:val="center"/>
        </w:trPr>
        <w:tc>
          <w:tcPr>
            <w:tcW w:w="0" w:type="auto"/>
            <w:vMerge/>
          </w:tcPr>
          <w:p w14:paraId="04E11ED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B69860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AKI: creatinine level increase ≥ 0.5 mg/dL</w:t>
            </w:r>
          </w:p>
        </w:tc>
        <w:tc>
          <w:tcPr>
            <w:tcW w:w="0" w:type="auto"/>
            <w:vMerge/>
          </w:tcPr>
          <w:p w14:paraId="2A46DB6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B5B249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29723C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442CE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17ABEB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CF3E39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0.839 (0.837-0.841)</w:t>
            </w:r>
          </w:p>
        </w:tc>
        <w:tc>
          <w:tcPr>
            <w:tcW w:w="0" w:type="auto"/>
          </w:tcPr>
          <w:p w14:paraId="036F528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0.845 (0.843-0.848)</w:t>
            </w:r>
          </w:p>
        </w:tc>
        <w:tc>
          <w:tcPr>
            <w:tcW w:w="0" w:type="auto"/>
          </w:tcPr>
          <w:p w14:paraId="60BCE43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301EC27D" w14:textId="77777777" w:rsidTr="00262EED">
        <w:trPr>
          <w:jc w:val="center"/>
        </w:trPr>
        <w:tc>
          <w:tcPr>
            <w:tcW w:w="0" w:type="auto"/>
            <w:vMerge/>
          </w:tcPr>
          <w:p w14:paraId="4705CA0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4252FC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AKI: creatinine level increase ≥ 1.0 mg/dL</w:t>
            </w:r>
          </w:p>
        </w:tc>
        <w:tc>
          <w:tcPr>
            <w:tcW w:w="0" w:type="auto"/>
            <w:vMerge/>
          </w:tcPr>
          <w:p w14:paraId="61A619E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C3D0A3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CBCA7A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C78B82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E3DFED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2B6596C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0.870 (0.867-0.873)</w:t>
            </w:r>
          </w:p>
        </w:tc>
        <w:tc>
          <w:tcPr>
            <w:tcW w:w="0" w:type="auto"/>
          </w:tcPr>
          <w:p w14:paraId="73563E0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0.872 (0.869-0.875)</w:t>
            </w:r>
          </w:p>
        </w:tc>
        <w:tc>
          <w:tcPr>
            <w:tcW w:w="0" w:type="auto"/>
          </w:tcPr>
          <w:p w14:paraId="4E97C99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4292DFDE" w14:textId="77777777" w:rsidTr="00262EED">
        <w:trPr>
          <w:jc w:val="center"/>
        </w:trPr>
        <w:tc>
          <w:tcPr>
            <w:tcW w:w="0" w:type="auto"/>
          </w:tcPr>
          <w:p w14:paraId="2717F43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Liu, Y et al. 2019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&lt;EndNote&gt;&lt;Cite&gt;&lt;Author&gt;Liu&lt;/Author&gt;&lt;Year&gt;2020&lt;/Year&gt;&lt;RecNum&gt;477&lt;/RecNum&gt;&lt;DisplayText&gt;(11)&lt;/DisplayText&gt;&lt;record&gt;&lt;rec-number&gt;477&lt;/rec-number&gt;&lt;foreign-keys&gt;&lt;key app="EN" db-id="z5ttrf29l2x0vgepr5zvd5acxpzf5dtdvtef" timestamp="1718357125"&gt;477&lt;/key&gt;&lt;/foreign-keys&gt;&lt;ref-type name="Journal Article"&gt;17&lt;/ref-type&gt;&lt;contributors&gt;&lt;authors&gt;&lt;author&gt;Liu, Yong&lt;/author&gt;&lt;author&gt;Chen, Shiqun&lt;/author&gt;&lt;author&gt;Ye, Jianfeng&lt;/author&gt;&lt;author&gt;Xian, Ying&lt;/author&gt;&lt;author&gt;Wang, Xia&lt;/author&gt;&lt;author&gt;Xuan, Jianwei&lt;/author&gt;&lt;author&gt;Tan, Ning&lt;/author&gt;&lt;author&gt;Li, Qiang&lt;/author&gt;&lt;author&gt;Chen, Jiyan&lt;/author&gt;&lt;author&gt;Ni, Zhonghan&lt;/author&gt;&lt;/authors&gt;&lt;/contributors&gt;&lt;titles&gt;&lt;title&gt;Random forest for prediction of contrast-induced nephropathy following coronary angiography&lt;/title&gt;&lt;secondary-title&gt;The International Journal of Cardiovascular Imaging&lt;/secondary-title&gt;&lt;/titles&gt;&lt;periodical&gt;&lt;full-title&gt;The International Journal of Cardiovascular Imaging&lt;/full-title&gt;&lt;/periodical&gt;&lt;pages&gt;983-991&lt;/pages&gt;&lt;volume&gt;36&lt;/volume&gt;&lt;dates&gt;&lt;year&gt;2020&lt;/year&gt;&lt;/dates&gt;&lt;isbn&gt;1569-5794&lt;/isbn&gt;&lt;urls&gt;&lt;/urls&gt;&lt;/record&gt;&lt;/Cite&gt;&lt;/EndNote&gt;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(11)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5D002A9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CIN</w:t>
            </w:r>
          </w:p>
        </w:tc>
        <w:tc>
          <w:tcPr>
            <w:tcW w:w="0" w:type="auto"/>
          </w:tcPr>
          <w:p w14:paraId="6A6F739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50B26EA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684BCDB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3F20BA0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658D8DB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0283546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0.854 (0.796–0.913)</w:t>
            </w:r>
          </w:p>
        </w:tc>
        <w:tc>
          <w:tcPr>
            <w:tcW w:w="0" w:type="auto"/>
          </w:tcPr>
          <w:p w14:paraId="034A4EA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0.842 </w:t>
            </w:r>
          </w:p>
        </w:tc>
        <w:tc>
          <w:tcPr>
            <w:tcW w:w="0" w:type="auto"/>
          </w:tcPr>
          <w:p w14:paraId="54B86F4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</w:tr>
      <w:tr w:rsidR="00A347DD" w:rsidRPr="007A4752" w14:paraId="1F35A7A8" w14:textId="77777777" w:rsidTr="00262EED">
        <w:trPr>
          <w:jc w:val="center"/>
        </w:trPr>
        <w:tc>
          <w:tcPr>
            <w:tcW w:w="0" w:type="auto"/>
            <w:vMerge w:val="restart"/>
          </w:tcPr>
          <w:p w14:paraId="17A3265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Chenxi Huang et al. 2018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&lt;EndNote&gt;&lt;Cite&gt;&lt;Author&gt;Huang&lt;/Author&gt;&lt;Year&gt;2018&lt;/Year&gt;&lt;RecNum&gt;483&lt;/RecNum&gt;&lt;DisplayText&gt;(12)&lt;/DisplayText&gt;&lt;record&gt;&lt;rec-number&gt;483&lt;/rec-number&gt;&lt;foreign-keys&gt;&lt;key app="EN" db-id="z5ttrf29l2x0vgepr5zvd5acxpzf5dtdvtef" timestamp="1718555483"&gt;483&lt;/key&gt;&lt;/foreign-keys&gt;&lt;ref-type name="Journal Article"&gt;17&lt;/ref-type&gt;&lt;contributors&gt;&lt;authors&gt;&lt;author&gt;Huang, Chenxi&lt;/author&gt;&lt;author&gt;Murugiah, Karthik&lt;/author&gt;&lt;author&gt;Mahajan, Shiwani&lt;/author&gt;&lt;author&gt;Li, Shu-Xia&lt;/author&gt;&lt;author&gt;Dhruva, Sanket S&lt;/author&gt;&lt;author&gt;Haimovich, Julian S&lt;/author&gt;&lt;author&gt;Wang, Yongfei&lt;/author&gt;&lt;author&gt;Schulz, Wade L&lt;/author&gt;&lt;author&gt;Testani, Jeffrey M&lt;/author&gt;&lt;author&gt;Wilson, Francis P&lt;/author&gt;&lt;/authors&gt;&lt;/contributors&gt;&lt;titles&gt;&lt;title&gt;Enhancing the prediction of acute kidney injury risk after percutaneous coronary intervention using machine learning techniques: a retrospective cohort study&lt;/title&gt;&lt;secondary-title&gt;PLoS medicine&lt;/secondary-title&gt;&lt;/titles&gt;&lt;periodical&gt;&lt;full-title&gt;PLoS medicine&lt;/full-title&gt;&lt;/periodical&gt;&lt;pages&gt;e1002703&lt;/pages&gt;&lt;volume&gt;15&lt;/volume&gt;&lt;number&gt;11&lt;/number&gt;&lt;dates&gt;&lt;year&gt;2018&lt;/year&gt;&lt;/dates&gt;&lt;isbn&gt;1549-1277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(12)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vMerge w:val="restart"/>
          </w:tcPr>
          <w:p w14:paraId="690361A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AKI</w:t>
            </w:r>
          </w:p>
        </w:tc>
        <w:tc>
          <w:tcPr>
            <w:tcW w:w="0" w:type="auto"/>
          </w:tcPr>
          <w:p w14:paraId="41C703E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XGBoost</w:t>
            </w:r>
            <w:proofErr w:type="spellEnd"/>
          </w:p>
        </w:tc>
        <w:tc>
          <w:tcPr>
            <w:tcW w:w="0" w:type="auto"/>
          </w:tcPr>
          <w:p w14:paraId="0AEDE83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3F29FB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DE6BEA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82CA77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42267C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0.752 (0.749–0.754)</w:t>
            </w:r>
          </w:p>
        </w:tc>
        <w:tc>
          <w:tcPr>
            <w:tcW w:w="0" w:type="auto"/>
          </w:tcPr>
          <w:p w14:paraId="66F564A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0.785</w:t>
            </w:r>
          </w:p>
        </w:tc>
        <w:tc>
          <w:tcPr>
            <w:tcW w:w="0" w:type="auto"/>
          </w:tcPr>
          <w:p w14:paraId="6F22A58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435D9129" w14:textId="77777777" w:rsidTr="00262EED">
        <w:trPr>
          <w:jc w:val="center"/>
        </w:trPr>
        <w:tc>
          <w:tcPr>
            <w:tcW w:w="0" w:type="auto"/>
            <w:vMerge/>
          </w:tcPr>
          <w:p w14:paraId="686D89B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D48CF0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D3A2291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LR</w:t>
            </w:r>
          </w:p>
        </w:tc>
        <w:tc>
          <w:tcPr>
            <w:tcW w:w="0" w:type="auto"/>
          </w:tcPr>
          <w:p w14:paraId="3A4D004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71050F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7FF4E9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877443B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428186E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0.7110 (708–0.714)</w:t>
            </w:r>
          </w:p>
        </w:tc>
        <w:tc>
          <w:tcPr>
            <w:tcW w:w="0" w:type="auto"/>
          </w:tcPr>
          <w:p w14:paraId="7E21A608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0.753 (0.749, 0.757)</w:t>
            </w:r>
          </w:p>
        </w:tc>
        <w:tc>
          <w:tcPr>
            <w:tcW w:w="0" w:type="auto"/>
          </w:tcPr>
          <w:p w14:paraId="6BEB77BD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347DD" w:rsidRPr="007A4752" w14:paraId="57C88226" w14:textId="77777777" w:rsidTr="00262EED">
        <w:trPr>
          <w:jc w:val="center"/>
        </w:trPr>
        <w:tc>
          <w:tcPr>
            <w:tcW w:w="0" w:type="auto"/>
          </w:tcPr>
          <w:p w14:paraId="7796A35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Wen-</w:t>
            </w: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jun</w:t>
            </w:r>
            <w:proofErr w:type="spellEnd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Yin et al. 2017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&lt;EndNote&gt;&lt;Cite&gt;&lt;Author&gt;Yin&lt;/Author&gt;&lt;Year&gt;2017&lt;/Year&gt;&lt;RecNum&gt;478&lt;/RecNum&gt;&lt;DisplayText&gt;(13)&lt;/DisplayText&gt;&lt;record&gt;&lt;rec-number&gt;478&lt;/rec-number&gt;&lt;foreign-keys&gt;&lt;key app="EN" db-id="z5ttrf29l2x0vgepr5zvd5acxpzf5dtdvtef" timestamp="1718358719"&gt;478&lt;/key&gt;&lt;/foreign-keys&gt;&lt;ref-type name="Journal Article"&gt;17&lt;/ref-type&gt;&lt;contributors&gt;&lt;authors&gt;&lt;author&gt;Yin, Wen‐jun&lt;/author&gt;&lt;author&gt;Yi, Yi‐hu&lt;/author&gt;&lt;author&gt;Guan, Xiao‐feng&lt;/author&gt;&lt;author&gt;Zhou, Ling‐yun&lt;/author&gt;&lt;author&gt;Wang, Jiang‐lin&lt;/author&gt;&lt;author&gt;Li, Dai‐yang&lt;/author&gt;&lt;author&gt;Zuo, Xiao‐cong&lt;/author&gt;&lt;/authors&gt;&lt;/contributors&gt;&lt;titles&gt;&lt;title&gt;Preprocedural Prediction Model for Contrast‐Induced Nephropathy Patients&lt;/title&gt;&lt;secondary-title&gt;Journal of the American Heart Association&lt;/secondary-title&gt;&lt;/titles&gt;&lt;periodical&gt;&lt;full-title&gt;Journal of the American Heart Association&lt;/full-title&gt;&lt;/periodical&gt;&lt;pages&gt;e004498&lt;/pages&gt;&lt;volume&gt;6&lt;/volume&gt;&lt;number&gt;2&lt;/number&gt;&lt;dates&gt;&lt;year&gt;2017&lt;/year&gt;&lt;/dates&gt;&lt;isbn&gt;2047-9980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(13)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69052B7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CIN</w:t>
            </w:r>
          </w:p>
        </w:tc>
        <w:tc>
          <w:tcPr>
            <w:tcW w:w="0" w:type="auto"/>
          </w:tcPr>
          <w:p w14:paraId="0660DBE2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4CE01F4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82.2%</w:t>
            </w:r>
          </w:p>
        </w:tc>
        <w:tc>
          <w:tcPr>
            <w:tcW w:w="0" w:type="auto"/>
          </w:tcPr>
          <w:p w14:paraId="4D1DC1A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84.4%</w:t>
            </w:r>
          </w:p>
        </w:tc>
        <w:tc>
          <w:tcPr>
            <w:tcW w:w="0" w:type="auto"/>
          </w:tcPr>
          <w:p w14:paraId="099A5CF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79.9%</w:t>
            </w:r>
          </w:p>
        </w:tc>
        <w:tc>
          <w:tcPr>
            <w:tcW w:w="0" w:type="auto"/>
          </w:tcPr>
          <w:p w14:paraId="01EC2B0C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5C3C264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0" w:type="auto"/>
          </w:tcPr>
          <w:p w14:paraId="0A945C9E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0.907</w:t>
            </w:r>
          </w:p>
        </w:tc>
        <w:tc>
          <w:tcPr>
            <w:tcW w:w="0" w:type="auto"/>
          </w:tcPr>
          <w:p w14:paraId="78B1CB13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</w:t>
            </w:r>
          </w:p>
        </w:tc>
      </w:tr>
      <w:tr w:rsidR="00A347DD" w:rsidRPr="007A4752" w14:paraId="1622D096" w14:textId="77777777" w:rsidTr="00262EED">
        <w:trPr>
          <w:jc w:val="center"/>
        </w:trPr>
        <w:tc>
          <w:tcPr>
            <w:tcW w:w="0" w:type="auto"/>
          </w:tcPr>
          <w:p w14:paraId="4235DB8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Hitinder S. </w:t>
            </w:r>
            <w:proofErr w:type="spellStart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Gurm</w:t>
            </w:r>
            <w:proofErr w:type="spellEnd"/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et al. 2013 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begin"/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instrText xml:space="preserve"> ADDIN EN.CITE &lt;EndNote&gt;&lt;Cite&gt;&lt;Author&gt;Gurm&lt;/Author&gt;&lt;Year&gt;2013&lt;/Year&gt;&lt;RecNum&gt;602&lt;/RecNum&gt;&lt;DisplayText&gt;(14)&lt;/DisplayText&gt;&lt;record&gt;&lt;rec-number&gt;602&lt;/rec-number&gt;&lt;foreign-keys&gt;&lt;key app="EN" db-id="z5ttrf29l2x0vgepr5zvd5acxpzf5dtdvtef" timestamp="1719584727"&gt;602&lt;/key&gt;&lt;/foreign-keys&gt;&lt;ref-type name="Journal Article"&gt;17&lt;/ref-type&gt;&lt;contributors&gt;&lt;authors&gt;&lt;author&gt;Gurm, Hitinder S&lt;/author&gt;&lt;author&gt;Seth, Milan&lt;/author&gt;&lt;author&gt;Kooiman, Judith&lt;/author&gt;&lt;author&gt;Share, David&lt;/author&gt;&lt;/authors&gt;&lt;/contributors&gt;&lt;titles&gt;&lt;title&gt;A novel tool for reliable and accurate prediction of renal complications in patients undergoing percutaneous coronary intervention&lt;/title&gt;&lt;secondary-title&gt;Journal of the American College of Cardiology&lt;/secondary-title&gt;&lt;/titles&gt;&lt;periodical&gt;&lt;full-title&gt;Journal of the American College of Cardiology&lt;/full-title&gt;&lt;/periodical&gt;&lt;pages&gt;2242-2248&lt;/pages&gt;&lt;volume&gt;61&lt;/volume&gt;&lt;number&gt;22&lt;/number&gt;&lt;dates&gt;&lt;year&gt;2013&lt;/year&gt;&lt;/dates&gt;&lt;isbn&gt;0735-1097&lt;/isbn&gt;&lt;urls&gt;&lt;/urls&gt;&lt;/record&gt;&lt;/Cite&gt;&lt;/EndNote&gt;</w:instrTex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separate"/>
            </w:r>
            <w:r w:rsidRPr="00086CC9">
              <w:rPr>
                <w:rFonts w:asciiTheme="majorBidi" w:hAnsiTheme="majorBidi" w:cstheme="majorBidi"/>
                <w:noProof/>
                <w:color w:val="000000" w:themeColor="text1"/>
                <w:sz w:val="16"/>
                <w:szCs w:val="16"/>
              </w:rPr>
              <w:t>(14)</w:t>
            </w: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273376DA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CIN</w:t>
            </w:r>
          </w:p>
        </w:tc>
        <w:tc>
          <w:tcPr>
            <w:tcW w:w="0" w:type="auto"/>
          </w:tcPr>
          <w:p w14:paraId="7C63547F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RF</w:t>
            </w:r>
          </w:p>
        </w:tc>
        <w:tc>
          <w:tcPr>
            <w:tcW w:w="0" w:type="auto"/>
          </w:tcPr>
          <w:p w14:paraId="09AD7B09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F55B526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76136B7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620D9275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DB88C90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086CC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0.839 (0.821 – 0.857)</w:t>
            </w:r>
          </w:p>
        </w:tc>
        <w:tc>
          <w:tcPr>
            <w:tcW w:w="0" w:type="auto"/>
          </w:tcPr>
          <w:p w14:paraId="6BF54607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3B8C72F4" w14:textId="77777777" w:rsidR="00A347DD" w:rsidRPr="00086CC9" w:rsidRDefault="00A347DD" w:rsidP="00262EED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</w:tbl>
    <w:p w14:paraId="50A8CB14" w14:textId="77777777" w:rsidR="00A347DD" w:rsidRPr="007A4752" w:rsidRDefault="00A347DD" w:rsidP="00A347DD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7A4752">
        <w:rPr>
          <w:rFonts w:asciiTheme="majorBidi" w:hAnsiTheme="majorBidi" w:cstheme="majorBidi"/>
          <w:sz w:val="20"/>
          <w:szCs w:val="20"/>
        </w:rPr>
        <w:t>Bucheon</w:t>
      </w:r>
      <w:proofErr w:type="spellEnd"/>
      <w:r w:rsidRPr="007A4752">
        <w:rPr>
          <w:rFonts w:asciiTheme="majorBidi" w:hAnsiTheme="majorBidi" w:cstheme="majorBidi"/>
          <w:sz w:val="20"/>
          <w:szCs w:val="20"/>
        </w:rPr>
        <w:t xml:space="preserve"> Sejong Hospital (BSH), </w:t>
      </w:r>
      <w:proofErr w:type="spellStart"/>
      <w:r w:rsidRPr="007A4752">
        <w:rPr>
          <w:rFonts w:asciiTheme="majorBidi" w:hAnsiTheme="majorBidi" w:cstheme="majorBidi"/>
          <w:sz w:val="20"/>
          <w:szCs w:val="20"/>
        </w:rPr>
        <w:t>Bucheon</w:t>
      </w:r>
      <w:proofErr w:type="spellEnd"/>
      <w:r w:rsidRPr="007A4752">
        <w:rPr>
          <w:rFonts w:asciiTheme="majorBidi" w:hAnsiTheme="majorBidi" w:cstheme="majorBidi"/>
          <w:sz w:val="20"/>
          <w:szCs w:val="20"/>
        </w:rPr>
        <w:t>, South Korea and Incheon Sejong Hospital (ISH), Incheon, South Korea</w:t>
      </w:r>
    </w:p>
    <w:p w14:paraId="114353CB" w14:textId="77777777" w:rsidR="00A347DD" w:rsidRDefault="00A347DD"/>
    <w:sectPr w:rsidR="00A347DD" w:rsidSect="00A347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DD"/>
    <w:rsid w:val="00055FC8"/>
    <w:rsid w:val="00A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5FAB08"/>
  <w15:chartTrackingRefBased/>
  <w15:docId w15:val="{05B8E5B9-FAF2-492A-8DBC-D90AB010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4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5">
    <w:name w:val="Pa25"/>
    <w:basedOn w:val="Normal"/>
    <w:next w:val="Normal"/>
    <w:uiPriority w:val="99"/>
    <w:rsid w:val="00A347DD"/>
    <w:pPr>
      <w:autoSpaceDE w:val="0"/>
      <w:autoSpaceDN w:val="0"/>
      <w:adjustRightInd w:val="0"/>
      <w:spacing w:after="0" w:line="240" w:lineRule="auto"/>
    </w:pPr>
    <w:rPr>
      <w:rFonts w:ascii="Myriad Pro" w:hAnsi="Myriad Pr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2259</Characters>
  <Application>Microsoft Office Word</Application>
  <DocSecurity>0</DocSecurity>
  <Lines>535</Lines>
  <Paragraphs>206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Delaram narimani davani</dc:creator>
  <cp:keywords/>
  <dc:description/>
  <cp:lastModifiedBy>Delaram narimani davani</cp:lastModifiedBy>
  <cp:revision>1</cp:revision>
  <dcterms:created xsi:type="dcterms:W3CDTF">2024-06-29T20:20:00Z</dcterms:created>
  <dcterms:modified xsi:type="dcterms:W3CDTF">2024-06-29T20:21:00Z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37b00336-7c3b-4215-b415-a1f07ef77b8c</vt:lpwstr>
  </property>
</Properties>
</file>